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139A47C5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="00FF5AA3" w:rsidRPr="00FF5AA3">
        <w:rPr>
          <w:sz w:val="22"/>
          <w:szCs w:val="22"/>
        </w:rPr>
        <w:t>4 1013 23 05</w:t>
      </w:r>
      <w:r w:rsidR="00FF5A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FF5AA3" w:rsidRPr="00FF5AA3">
        <w:rPr>
          <w:sz w:val="22"/>
          <w:szCs w:val="22"/>
        </w:rPr>
        <w:t>szakács</w:t>
      </w:r>
      <w:r w:rsidRPr="00FF5AA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>(a továbbiakban: Sz</w:t>
      </w:r>
      <w:r w:rsidR="00346F19">
        <w:rPr>
          <w:sz w:val="22"/>
          <w:szCs w:val="22"/>
        </w:rPr>
        <w:t>kr</w:t>
      </w:r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telefonszám: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C8B5A4A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elérhetősége: +36301215275</w:t>
            </w:r>
            <w:r>
              <w:rPr>
                <w:sz w:val="20"/>
                <w:szCs w:val="20"/>
              </w:rPr>
              <w:t xml:space="preserve">,    </w:t>
            </w:r>
            <w:bookmarkStart w:id="0" w:name="_GoBack"/>
            <w:bookmarkEnd w:id="0"/>
            <w:r w:rsidR="00FF5AA3">
              <w:rPr>
                <w:sz w:val="20"/>
                <w:szCs w:val="20"/>
              </w:rPr>
              <w:fldChar w:fldCharType="begin"/>
            </w:r>
            <w:r w:rsidR="00FF5AA3">
              <w:rPr>
                <w:sz w:val="20"/>
                <w:szCs w:val="20"/>
              </w:rPr>
              <w:instrText xml:space="preserve"> HYPERLINK "mailto:</w:instrText>
            </w:r>
            <w:r w:rsidR="00FF5AA3" w:rsidRPr="00FF5AA3">
              <w:rPr>
                <w:sz w:val="20"/>
                <w:szCs w:val="20"/>
              </w:rPr>
              <w:instrText>poti@krudy.gyor.hu</w:instrText>
            </w:r>
            <w:r w:rsidR="00FF5AA3">
              <w:rPr>
                <w:sz w:val="20"/>
                <w:szCs w:val="20"/>
              </w:rPr>
              <w:instrText xml:space="preserve">" </w:instrText>
            </w:r>
            <w:r w:rsidR="00FF5AA3">
              <w:rPr>
                <w:sz w:val="20"/>
                <w:szCs w:val="20"/>
              </w:rPr>
              <w:fldChar w:fldCharType="separate"/>
            </w:r>
            <w:r w:rsidR="00FF5AA3" w:rsidRPr="005E5C0B">
              <w:rPr>
                <w:rStyle w:val="Hiperhivatkozs"/>
                <w:sz w:val="20"/>
                <w:szCs w:val="20"/>
              </w:rPr>
              <w:t>poti@krudy.gyor.hu</w:t>
            </w:r>
            <w:r w:rsidR="00FF5AA3">
              <w:rPr>
                <w:sz w:val="20"/>
                <w:szCs w:val="20"/>
              </w:rPr>
              <w:fldChar w:fldCharType="end"/>
            </w:r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AC88" w14:textId="77777777" w:rsidR="00373AF7" w:rsidRDefault="00373AF7">
      <w:r>
        <w:separator/>
      </w:r>
    </w:p>
  </w:endnote>
  <w:endnote w:type="continuationSeparator" w:id="0">
    <w:p w14:paraId="393E16C3" w14:textId="77777777" w:rsidR="00373AF7" w:rsidRDefault="003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428CD6FD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F5AA3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3BC0" w14:textId="77777777" w:rsidR="00373AF7" w:rsidRDefault="00373AF7">
      <w:r>
        <w:separator/>
      </w:r>
    </w:p>
  </w:footnote>
  <w:footnote w:type="continuationSeparator" w:id="0">
    <w:p w14:paraId="7A24D438" w14:textId="77777777" w:rsidR="00373AF7" w:rsidRDefault="00373AF7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ISZIIR-rel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Szkt.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3AF7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5BFA0-028C-4AF6-8FBF-80CC3274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1496</Words>
  <Characters>10329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2026-01-12T11:17:00Z</dcterms:created>
  <dcterms:modified xsi:type="dcterms:W3CDTF">2026-01-12T11:33:00Z</dcterms:modified>
</cp:coreProperties>
</file>